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AB" w:rsidRDefault="00D23DA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ТЕХНОЛОГИЧЕСКАЯ СХЕМА</w:t>
      </w:r>
    </w:p>
    <w:p w:rsidR="00083A57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E6585D" w:rsidP="00D23DA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D23DAB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D23DAB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BB0DA3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BB0DA3" w:rsidRDefault="00D23DAB" w:rsidP="00056232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07.10.2015 № 27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BB0DA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BB0D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BB0DA3">
              <w:rPr>
                <w:rFonts w:ascii="Times New Roman" w:hAnsi="Times New Roman" w:cs="Times New Roman"/>
              </w:rPr>
              <w:t xml:space="preserve"> в МФЦ</w:t>
            </w:r>
            <w:r w:rsidR="0070015D" w:rsidRPr="00BB0DA3">
              <w:rPr>
                <w:rFonts w:ascii="Times New Roman" w:hAnsi="Times New Roman" w:cs="Times New Roman"/>
              </w:rPr>
              <w:t>;</w:t>
            </w:r>
          </w:p>
          <w:p w:rsidR="0070015D" w:rsidRPr="00BB0DA3" w:rsidRDefault="007001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BD28FA" w:rsidRPr="00BB0DA3">
              <w:rPr>
                <w:rFonts w:ascii="Times New Roman" w:hAnsi="Times New Roman" w:cs="Times New Roman"/>
              </w:rPr>
              <w:t xml:space="preserve">единый </w:t>
            </w:r>
            <w:r w:rsidR="006E4E03" w:rsidRPr="00BB0DA3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BB0DA3">
              <w:rPr>
                <w:rFonts w:ascii="Times New Roman" w:hAnsi="Times New Roman" w:cs="Times New Roman"/>
                <w:b/>
              </w:rPr>
              <w:t>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proofErr w:type="gramStart"/>
            <w:r w:rsidR="00B42A64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B42A64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</w:t>
            </w:r>
            <w:proofErr w:type="gramStart"/>
            <w:r w:rsidR="002479DC" w:rsidRPr="00BB0DA3">
              <w:rPr>
                <w:rFonts w:ascii="Times New Roman" w:hAnsi="Times New Roman" w:cs="Times New Roman"/>
              </w:rPr>
              <w:t>.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2479DC" w:rsidRPr="00BB0DA3">
              <w:rPr>
                <w:rFonts w:ascii="Times New Roman" w:hAnsi="Times New Roman" w:cs="Times New Roman"/>
              </w:rPr>
              <w:t>д</w:t>
            </w:r>
            <w:proofErr w:type="gramEnd"/>
            <w:r w:rsidR="002479DC" w:rsidRPr="00BB0DA3">
              <w:rPr>
                <w:rFonts w:ascii="Times New Roman" w:hAnsi="Times New Roman" w:cs="Times New Roman"/>
              </w:rPr>
              <w:t>н</w:t>
            </w:r>
            <w:proofErr w:type="spellEnd"/>
            <w:r w:rsidR="002479DC" w:rsidRPr="00BB0D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 от 04.05.2007 № 380 «Об утверждении плана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ции розничных </w:t>
            </w:r>
            <w:r w:rsidRPr="00BB0DA3">
              <w:rPr>
                <w:rFonts w:ascii="Times New Roman" w:hAnsi="Times New Roman" w:cs="Times New Roman"/>
              </w:rPr>
              <w:lastRenderedPageBreak/>
              <w:t>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  <w:r w:rsidR="00512C7F" w:rsidRPr="00BB0DA3">
              <w:rPr>
                <w:rFonts w:ascii="Times New Roman" w:hAnsi="Times New Roman" w:cs="Times New Roman"/>
              </w:rPr>
              <w:t xml:space="preserve"> 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вителя соответс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ждающему прав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BB0DA3">
              <w:rPr>
                <w:rFonts w:ascii="Times New Roman" w:hAnsi="Times New Roman" w:cs="Times New Roman"/>
                <w:b/>
              </w:rPr>
              <w:t>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1710B7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вующее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479DC" w:rsidRPr="00BB0DA3">
              <w:rPr>
                <w:rFonts w:ascii="Times New Roman" w:hAnsi="Times New Roman" w:cs="Times New Roman"/>
                <w:b/>
              </w:rPr>
              <w:t>поду</w:t>
            </w:r>
            <w:r w:rsidR="002479DC" w:rsidRPr="00BB0DA3">
              <w:rPr>
                <w:rFonts w:ascii="Times New Roman" w:hAnsi="Times New Roman" w:cs="Times New Roman"/>
                <w:b/>
              </w:rPr>
              <w:t>с</w:t>
            </w:r>
            <w:r w:rsidR="002479DC"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="002479DC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BB0DA3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дании юридического лица и данные документа,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тверждающего факт вн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сения сведений о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ческом лице в единый государственный реестр юридических лиц;</w:t>
            </w:r>
            <w:proofErr w:type="gramEnd"/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lastRenderedPageBreak/>
              <w:t>ка и данные документа о постановке юридического 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 xml:space="preserve">димо иметь в виду, что доверенность, в которой </w:t>
            </w:r>
            <w:r w:rsidRPr="00BB0DA3">
              <w:rPr>
                <w:rFonts w:ascii="Times New Roman" w:hAnsi="Times New Roman" w:cs="Times New Roman"/>
              </w:rPr>
              <w:lastRenderedPageBreak/>
              <w:t>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-устав юридического лица, </w:t>
            </w:r>
            <w:proofErr w:type="gramStart"/>
            <w:r w:rsidRPr="00BB0DA3">
              <w:rPr>
                <w:rFonts w:ascii="Times New Roman" w:hAnsi="Times New Roman" w:cs="Times New Roman"/>
              </w:rPr>
              <w:t>-с</w:t>
            </w:r>
            <w:proofErr w:type="gramEnd"/>
            <w:r w:rsidRPr="00BB0DA3">
              <w:rPr>
                <w:rFonts w:ascii="Times New Roman" w:hAnsi="Times New Roman" w:cs="Times New Roman"/>
              </w:rPr>
              <w:t>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Правоустанав</w:t>
            </w:r>
            <w:proofErr w:type="spellEnd"/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proofErr w:type="spellStart"/>
            <w:r w:rsidRPr="00BB0DA3">
              <w:rPr>
                <w:rFonts w:ascii="Times New Roman" w:hAnsi="Times New Roman" w:cs="Times New Roman"/>
              </w:rPr>
              <w:t>ливающие</w:t>
            </w:r>
            <w:proofErr w:type="spellEnd"/>
            <w:r w:rsidRPr="00BB0DA3">
              <w:rPr>
                <w:rFonts w:ascii="Times New Roman" w:hAnsi="Times New Roman" w:cs="Times New Roman"/>
              </w:rPr>
              <w:t xml:space="preserve">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</w:t>
            </w:r>
            <w:proofErr w:type="spellStart"/>
            <w:r w:rsidRPr="00BB0DA3">
              <w:rPr>
                <w:rFonts w:ascii="Times New Roman" w:hAnsi="Times New Roman" w:cs="Times New Roman"/>
              </w:rPr>
              <w:t>ые</w:t>
            </w:r>
            <w:proofErr w:type="spellEnd"/>
            <w:r w:rsidRPr="00BB0DA3">
              <w:rPr>
                <w:rFonts w:ascii="Times New Roman" w:hAnsi="Times New Roman" w:cs="Times New Roman"/>
              </w:rPr>
              <w:t>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Pr="00BB0DA3">
              <w:rPr>
                <w:rFonts w:ascii="Times New Roman" w:hAnsi="Times New Roman" w:cs="Times New Roman"/>
                <w:b/>
              </w:rPr>
              <w:t>межведомс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(ой)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214EF1"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214EF1"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 xml:space="preserve">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</w:t>
            </w:r>
            <w:r w:rsidRPr="00BB0DA3">
              <w:t>е</w:t>
            </w:r>
            <w:r w:rsidRPr="00BB0DA3">
              <w:t>доставлении (продл</w:t>
            </w:r>
            <w:r w:rsidRPr="00BB0DA3">
              <w:t>е</w:t>
            </w:r>
            <w:r w:rsidRPr="00BB0DA3">
              <w:t>нии, переоформлении) разрешения на право организации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085E8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B0DA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BB0DA3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  <w:r w:rsidRPr="00BB0DA3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дующим требованиям: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менты в установленных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случаях нотар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3533BF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="00E3767E" w:rsidRPr="00BB0DA3">
              <w:rPr>
                <w:rFonts w:ascii="Times New Roman" w:hAnsi="Times New Roman" w:cs="Times New Roman"/>
                <w:b/>
              </w:rPr>
              <w:t>:</w:t>
            </w:r>
            <w:r w:rsidR="000E5FA8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</w:t>
            </w:r>
            <w:r w:rsidR="00494012" w:rsidRPr="00BB0DA3">
              <w:rPr>
                <w:rFonts w:ascii="Times New Roman" w:hAnsi="Times New Roman" w:cs="Times New Roman"/>
                <w:b/>
              </w:rPr>
              <w:t>ж</w:t>
            </w:r>
            <w:r w:rsidR="00494012" w:rsidRPr="00BB0DA3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lastRenderedPageBreak/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- </w:t>
            </w:r>
            <w:r w:rsidRPr="00BB0DA3">
              <w:rPr>
                <w:rFonts w:ascii="Times New Roman" w:hAnsi="Times New Roman" w:cs="Times New Roman"/>
              </w:rPr>
              <w:lastRenderedPageBreak/>
              <w:t>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рассмо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венного взаимодейс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BB0DA3">
              <w:t xml:space="preserve"> 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  <w:r w:rsidRPr="00BB0D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не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позднее дня, следующего за днем принятия постановления готовит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</w:t>
            </w:r>
            <w:r w:rsidRPr="00BB0DA3">
              <w:rPr>
                <w:rFonts w:ascii="Times New Roman" w:hAnsi="Times New Roman" w:cs="Times New Roman"/>
              </w:rPr>
              <w:lastRenderedPageBreak/>
              <w:t>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принятие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При поступлении в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  <w:proofErr w:type="gramEnd"/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непосредс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 по месту подачи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и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BB0DA3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BB0DA3">
              <w:rPr>
                <w:rFonts w:ascii="Times New Roman" w:hAnsi="Times New Roman" w:cs="Times New Roman"/>
                <w:b/>
              </w:rPr>
              <w:t>» 1:</w:t>
            </w:r>
            <w:r w:rsidR="00A45256" w:rsidRPr="00BB0DA3">
              <w:rPr>
                <w:rFonts w:ascii="Times New Roman" w:hAnsi="Times New Roman" w:cs="Times New Roman"/>
                <w:b/>
              </w:rPr>
              <w:t xml:space="preserve"> 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BB0DA3">
              <w:rPr>
                <w:rFonts w:ascii="Times New Roman" w:hAnsi="Times New Roman" w:cs="Times New Roman"/>
              </w:rPr>
              <w:t>на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0DA3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BB0DA3">
              <w:rPr>
                <w:rFonts w:ascii="Times New Roman" w:hAnsi="Times New Roman" w:cs="Times New Roman"/>
              </w:rPr>
              <w:t xml:space="preserve">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(функций) -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F7145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 xml:space="preserve"> </w:t>
      </w:r>
      <w:r w:rsidR="00E728F6"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</w:t>
      </w:r>
      <w:proofErr w:type="gramStart"/>
      <w:r w:rsidRPr="0008322D">
        <w:t>(полное и сокращенное (если имеется) наименование,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организационно-правовая форма юридического лица)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</w:t>
      </w:r>
      <w:proofErr w:type="gramStart"/>
      <w:r w:rsidRPr="0008322D">
        <w:t>(государственный регистрационный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</w:t>
      </w:r>
      <w:proofErr w:type="gramStart"/>
      <w:r w:rsidRPr="0008322D">
        <w:t>(данные документа, подтверждающего факт внесения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</w:t>
      </w:r>
      <w:proofErr w:type="gramStart"/>
      <w:r w:rsidRPr="0008322D">
        <w:t>(данные документа о постановке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 xml:space="preserve">организации _______________________________________________ рынка в </w:t>
      </w:r>
      <w:proofErr w:type="gramStart"/>
      <w:r w:rsidRPr="0008322D">
        <w:t>нежилом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proofErr w:type="gramStart"/>
      <w:r w:rsidRPr="0008322D">
        <w:t>помещении</w:t>
      </w:r>
      <w:proofErr w:type="gramEnd"/>
      <w:r w:rsidRPr="0008322D">
        <w:t xml:space="preserve">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 xml:space="preserve">инвентаризационный номер ________________________________, </w:t>
      </w:r>
      <w:proofErr w:type="gramStart"/>
      <w:r w:rsidRPr="0008322D">
        <w:t>расположенном</w:t>
      </w:r>
      <w:proofErr w:type="gramEnd"/>
      <w:r w:rsidRPr="0008322D">
        <w:t xml:space="preserve"> на</w:t>
      </w:r>
    </w:p>
    <w:p w:rsidR="002479DC" w:rsidRPr="0008322D" w:rsidRDefault="002479DC" w:rsidP="002479DC">
      <w:pPr>
        <w:pStyle w:val="ConsPlusNonformat"/>
      </w:pPr>
      <w:r w:rsidRPr="0008322D">
        <w:t xml:space="preserve">земельном участке, кадастровый номер: _________________________________, </w:t>
      </w:r>
      <w:proofErr w:type="gramStart"/>
      <w:r w:rsidRPr="0008322D">
        <w:t>по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</w:t>
      </w:r>
      <w:proofErr w:type="gramStart"/>
      <w:r w:rsidRPr="0008322D">
        <w:t>(место расположения объекта или объектов, где предполагается организовать</w:t>
      </w:r>
      <w:proofErr w:type="gramEnd"/>
    </w:p>
    <w:p w:rsidR="002479DC" w:rsidRPr="0008322D" w:rsidRDefault="002479DC" w:rsidP="002479DC">
      <w:pPr>
        <w:pStyle w:val="ConsPlusNonformat"/>
      </w:pPr>
      <w:r w:rsidRPr="0008322D">
        <w:t xml:space="preserve">  рынок</w:t>
      </w:r>
      <w:proofErr w:type="gramStart"/>
      <w:r w:rsidRPr="0008322D">
        <w:t>:__________________________________________________________________)</w:t>
      </w:r>
      <w:proofErr w:type="gramEnd"/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</w:t>
      </w:r>
      <w:proofErr w:type="gramStart"/>
      <w:r w:rsidRPr="0008322D">
        <w:rPr>
          <w:sz w:val="18"/>
          <w:szCs w:val="18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proofErr w:type="gramStart"/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  <w:proofErr w:type="gramEnd"/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  <w:r w:rsidRPr="0008322D">
        <w:t xml:space="preserve"> </w:t>
      </w: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</w:t>
      </w:r>
      <w:proofErr w:type="gramStart"/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  <w:proofErr w:type="gramEnd"/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документы в количестве ____________________________ экземпляров </w:t>
      </w: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  <w:proofErr w:type="gramEnd"/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имущес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во и сделок с ним о зарегистрированных правах на объект (объекты) недвижим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сти, расположенные на территории, в пределах которой предполагается организ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</w:t>
      </w:r>
      <w:proofErr w:type="gramStart"/>
      <w:r w:rsidRPr="0008322D">
        <w:t>(полное и (если имеется) сокращенное наименования, в том числе</w:t>
      </w:r>
      <w:proofErr w:type="gramEnd"/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</w:t>
      </w:r>
      <w:proofErr w:type="gramStart"/>
      <w:r w:rsidRPr="0008322D">
        <w:t>представленных</w:t>
      </w:r>
      <w:proofErr w:type="gramEnd"/>
      <w:r w:rsidRPr="0008322D">
        <w:t xml:space="preserve">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</w:t>
      </w:r>
      <w:r w:rsidRPr="0008322D">
        <w:t>с</w:t>
      </w:r>
      <w:r w:rsidRPr="0008322D">
        <w:t>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</w:t>
      </w:r>
      <w:proofErr w:type="gramStart"/>
      <w:r w:rsidRPr="0008322D">
        <w:t>представленные</w:t>
      </w:r>
      <w:proofErr w:type="gramEnd"/>
      <w:r w:rsidRPr="0008322D">
        <w:t xml:space="preserve">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27" w:rsidRDefault="00E82B27" w:rsidP="00D328E5">
      <w:pPr>
        <w:spacing w:after="0" w:line="240" w:lineRule="auto"/>
      </w:pPr>
      <w:r>
        <w:separator/>
      </w:r>
    </w:p>
  </w:endnote>
  <w:endnote w:type="continuationSeparator" w:id="0">
    <w:p w:rsidR="00E82B27" w:rsidRDefault="00E82B2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27" w:rsidRDefault="00E82B27" w:rsidP="00D328E5">
      <w:pPr>
        <w:spacing w:after="0" w:line="240" w:lineRule="auto"/>
      </w:pPr>
      <w:r>
        <w:separator/>
      </w:r>
    </w:p>
  </w:footnote>
  <w:footnote w:type="continuationSeparator" w:id="0">
    <w:p w:rsidR="00E82B27" w:rsidRDefault="00E82B27" w:rsidP="00D328E5">
      <w:pPr>
        <w:spacing w:after="0" w:line="240" w:lineRule="auto"/>
      </w:pPr>
      <w:r>
        <w:continuationSeparator/>
      </w:r>
    </w:p>
  </w:footnote>
  <w:footnote w:id="1">
    <w:p w:rsidR="00BB0DA3" w:rsidRPr="0008322D" w:rsidRDefault="00BB0DA3">
      <w:pPr>
        <w:pStyle w:val="ad"/>
        <w:rPr>
          <w:rFonts w:ascii="Times New Roman" w:hAnsi="Times New Roman" w:cs="Times New Roman"/>
        </w:rPr>
      </w:pPr>
      <w:r w:rsidRPr="0008322D">
        <w:rPr>
          <w:rStyle w:val="af"/>
          <w:rFonts w:ascii="Times New Roman" w:hAnsi="Times New Roman" w:cs="Times New Roman"/>
        </w:rPr>
        <w:footnoteRef/>
      </w:r>
      <w:r w:rsidRPr="0008322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t xml:space="preserve"> </w:t>
      </w:r>
      <w:r w:rsidRPr="0008322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BB0DA3" w:rsidRPr="00BB0DA3" w:rsidRDefault="00BB0DA3">
      <w:pPr>
        <w:pStyle w:val="ad"/>
        <w:rPr>
          <w:rFonts w:ascii="Times New Roman" w:hAnsi="Times New Roman" w:cs="Times New Roman"/>
        </w:rPr>
      </w:pPr>
      <w:r w:rsidRPr="00BB0DA3">
        <w:rPr>
          <w:rStyle w:val="af"/>
          <w:rFonts w:ascii="Times New Roman" w:hAnsi="Times New Roman" w:cs="Times New Roman"/>
        </w:rPr>
        <w:footnoteRef/>
      </w:r>
      <w:r w:rsidRPr="00BB0D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документа приводится органом, предоставляющим услугу</w:t>
      </w:r>
      <w:r w:rsidR="00085E8B">
        <w:rPr>
          <w:rFonts w:ascii="Times New Roman" w:hAnsi="Times New Roman" w:cs="Times New Roman"/>
        </w:rPr>
        <w:t>.</w:t>
      </w:r>
    </w:p>
  </w:footnote>
  <w:footnote w:id="5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C66CF9" w:rsidRPr="00C66CF9" w:rsidRDefault="00C66CF9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BB0DA3" w:rsidRPr="00074D16" w:rsidRDefault="00BB0DA3">
      <w:pPr>
        <w:pStyle w:val="ad"/>
      </w:pPr>
      <w:r w:rsidRPr="00074D16">
        <w:rPr>
          <w:rStyle w:val="af"/>
        </w:rPr>
        <w:footnoteRef/>
      </w:r>
      <w:r w:rsidRPr="00074D16">
        <w:t xml:space="preserve"> </w:t>
      </w:r>
      <w:r w:rsidRPr="00074D16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074D16" w:rsidRPr="00074D16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D077D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23DAB"/>
    <w:rsid w:val="00D31907"/>
    <w:rsid w:val="00D328E5"/>
    <w:rsid w:val="00D4053D"/>
    <w:rsid w:val="00D62F0A"/>
    <w:rsid w:val="00D91955"/>
    <w:rsid w:val="00DC4552"/>
    <w:rsid w:val="00DF71B7"/>
    <w:rsid w:val="00DF72FE"/>
    <w:rsid w:val="00E00E3D"/>
    <w:rsid w:val="00E0630F"/>
    <w:rsid w:val="00E115FD"/>
    <w:rsid w:val="00E329C6"/>
    <w:rsid w:val="00E32C31"/>
    <w:rsid w:val="00E34A13"/>
    <w:rsid w:val="00E3767E"/>
    <w:rsid w:val="00E57E28"/>
    <w:rsid w:val="00E6585D"/>
    <w:rsid w:val="00E715B0"/>
    <w:rsid w:val="00E728F6"/>
    <w:rsid w:val="00E74124"/>
    <w:rsid w:val="00E752C6"/>
    <w:rsid w:val="00E82B27"/>
    <w:rsid w:val="00E85938"/>
    <w:rsid w:val="00EB68A9"/>
    <w:rsid w:val="00EC062C"/>
    <w:rsid w:val="00ED7A6F"/>
    <w:rsid w:val="00EF7145"/>
    <w:rsid w:val="00F33C30"/>
    <w:rsid w:val="00F35B15"/>
    <w:rsid w:val="00FB67BA"/>
    <w:rsid w:val="00FD1C04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5DBB-ABDF-4920-AC99-B40F4AD7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2</cp:revision>
  <dcterms:created xsi:type="dcterms:W3CDTF">2016-12-08T12:44:00Z</dcterms:created>
  <dcterms:modified xsi:type="dcterms:W3CDTF">2016-12-08T12:44:00Z</dcterms:modified>
</cp:coreProperties>
</file>